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FF" w:rsidRPr="001C2390" w:rsidRDefault="00BB34FF" w:rsidP="00BB34FF">
      <w:pPr>
        <w:jc w:val="center"/>
        <w:rPr>
          <w:b/>
          <w:sz w:val="32"/>
          <w:szCs w:val="32"/>
          <w:lang w:val="el-GR"/>
        </w:rPr>
      </w:pPr>
      <w:r w:rsidRPr="001C2390">
        <w:rPr>
          <w:b/>
          <w:sz w:val="32"/>
          <w:szCs w:val="32"/>
          <w:lang w:val="el-GR"/>
        </w:rPr>
        <w:t>Στατιστικά Στοιχεία Ευρωπαϊκών Έργων ΕΛΚΕ Πανεπιστημίου Πελοποννήσου με έναρξη Φ.Α. μετά την 1/1/2013</w:t>
      </w:r>
    </w:p>
    <w:p w:rsidR="00BB34FF" w:rsidRDefault="00BB34FF" w:rsidP="00BB34FF">
      <w:pPr>
        <w:jc w:val="center"/>
        <w:rPr>
          <w:sz w:val="32"/>
          <w:szCs w:val="32"/>
          <w:lang w:val="el-GR"/>
        </w:rPr>
      </w:pPr>
      <w:r w:rsidRPr="00BB34FF">
        <w:rPr>
          <w:noProof/>
          <w:sz w:val="32"/>
          <w:szCs w:val="32"/>
        </w:rPr>
        <w:drawing>
          <wp:inline distT="0" distB="0" distL="0" distR="0">
            <wp:extent cx="8848725" cy="67722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34FF" w:rsidRDefault="00BB34FF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br w:type="page"/>
      </w:r>
      <w:r w:rsidRPr="00BB34FF">
        <w:rPr>
          <w:noProof/>
          <w:sz w:val="32"/>
          <w:szCs w:val="32"/>
        </w:rPr>
        <w:lastRenderedPageBreak/>
        <w:drawing>
          <wp:inline distT="0" distB="0" distL="0" distR="0">
            <wp:extent cx="9429750" cy="738187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B34FF" w:rsidRDefault="005639AA">
      <w:pPr>
        <w:rPr>
          <w:sz w:val="32"/>
          <w:szCs w:val="32"/>
          <w:lang w:val="el-GR"/>
        </w:rPr>
      </w:pPr>
      <w:r w:rsidRPr="005639AA">
        <w:rPr>
          <w:sz w:val="32"/>
          <w:szCs w:val="32"/>
          <w:lang w:val="el-GR"/>
        </w:rPr>
        <w:lastRenderedPageBreak/>
        <w:drawing>
          <wp:inline distT="0" distB="0" distL="0" distR="0">
            <wp:extent cx="9697720" cy="6760158"/>
            <wp:effectExtent l="19050" t="0" r="17780" b="2592"/>
            <wp:docPr id="1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0ECB" w:rsidRPr="001C2390" w:rsidRDefault="005639AA" w:rsidP="001C2390">
      <w:pPr>
        <w:jc w:val="center"/>
        <w:rPr>
          <w:sz w:val="32"/>
          <w:szCs w:val="32"/>
          <w:lang w:val="el-GR"/>
        </w:rPr>
      </w:pPr>
    </w:p>
    <w:sectPr w:rsidR="00F60ECB" w:rsidRPr="001C2390" w:rsidSect="00BB34FF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34FF"/>
    <w:rsid w:val="000A0E87"/>
    <w:rsid w:val="001C2390"/>
    <w:rsid w:val="003C667A"/>
    <w:rsid w:val="004B74E7"/>
    <w:rsid w:val="005639AA"/>
    <w:rsid w:val="00B213E6"/>
    <w:rsid w:val="00BB34FF"/>
    <w:rsid w:val="00CA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pport\Documents\&#922;&#945;&#964;&#940;&#955;&#959;&#947;&#959;&#962;%20&#941;&#961;&#947;&#969;&#957;\&#922;&#945;&#964;&#940;&#955;&#959;&#947;&#959;&#962;%20&#941;&#961;&#947;&#969;&#957;%20&#956;&#949;%20&#941;&#957;&#945;&#961;&#958;&#951;%20&#934;.&#913;.%20&#956;&#949;&#964;&#940;%20&#964;&#951;&#957;%201.1.2013%20&#941;&#969;&#962;%20&#963;&#942;&#956;&#949;&#961;&#94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pport\Documents\&#922;&#945;&#964;&#940;&#955;&#959;&#947;&#959;&#962;%20&#941;&#961;&#947;&#969;&#957;\&#922;&#945;&#964;&#940;&#955;&#959;&#947;&#959;&#962;%20&#941;&#961;&#947;&#969;&#957;%20&#956;&#949;%20&#941;&#957;&#945;&#961;&#958;&#951;%20&#934;.&#913;.%20&#956;&#949;&#964;&#940;%20&#964;&#951;&#957;%201.1.2013%20&#941;&#969;&#962;%20&#963;&#942;&#956;&#949;&#961;&#94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pport\Documents\&#922;&#945;&#964;&#940;&#955;&#959;&#947;&#959;&#962;%20&#941;&#961;&#947;&#969;&#957;\&#922;&#945;&#964;&#940;&#955;&#959;&#947;&#959;&#962;%20&#941;&#961;&#947;&#969;&#957;%20&#956;&#949;%20&#941;&#957;&#945;&#961;&#958;&#951;%20&#934;.&#913;.%20&#956;&#949;&#964;&#940;%20&#964;&#951;&#957;%201.1.2013%20&#941;&#969;&#962;%20&#963;&#942;&#956;&#949;&#961;&#9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l-GR"/>
              <a:t>Πλήθος</a:t>
            </a:r>
            <a:r>
              <a:rPr lang="el-GR" baseline="0"/>
              <a:t> Εγκεκριμένων Προτάσεων ανά Πρόγραμμα</a:t>
            </a:r>
          </a:p>
        </c:rich>
      </c:tx>
      <c:layout>
        <c:manualLayout>
          <c:xMode val="edge"/>
          <c:yMode val="edge"/>
          <c:x val="0.27098830622490844"/>
          <c:y val="6.6930831958241552E-2"/>
        </c:manualLayout>
      </c:layout>
      <c:overlay val="1"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5.3908359608942254E-3"/>
                  <c:y val="-1.6771490684427421E-3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1"/>
              <c:layout>
                <c:manualLayout>
                  <c:x val="2.6954179804471196E-3"/>
                  <c:y val="-1.677149068442741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 algn="ctr">
                    <a:defRPr lang="en-US"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2.6954179804470802E-3"/>
                  <c:y val="-1.844863975287010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6.289308621043291E-3"/>
                  <c:y val="-1.677149068442741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8.0862539413413398E-3"/>
                  <c:y val="-1.341719254754189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 val="5.3908359608941595E-3"/>
                  <c:y val="-1.677149068442741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6"/>
              <c:layout>
                <c:manualLayout>
                  <c:x val="6.289308621043291E-3"/>
                  <c:y val="-1.006289441065642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7"/>
              <c:layout>
                <c:manualLayout>
                  <c:x val="4.4923633007452057E-3"/>
                  <c:y val="-1.341719254754189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8"/>
              <c:layout>
                <c:manualLayout>
                  <c:x val="5.3908359608942254E-3"/>
                  <c:y val="-1.509434161598464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9"/>
              <c:layout>
                <c:manualLayout>
                  <c:x val="5.3908359608942254E-3"/>
                  <c:y val="-1.677149068442741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10"/>
              <c:layout>
                <c:manualLayout>
                  <c:x val="8.984726601490375E-3"/>
                  <c:y val="-1.341719254754189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dLbl>
              <c:idx val="11"/>
              <c:layout>
                <c:manualLayout>
                  <c:x val="8.0862539413414716E-3"/>
                  <c:y val="-1.5094341615984641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Val val="1"/>
            </c:dLbl>
            <c:showVal val="1"/>
          </c:dLbls>
          <c:cat>
            <c:strRef>
              <c:f>'Πλήθος έργων ανά προγραμμα'!$A$4:$A$15</c:f>
              <c:strCache>
                <c:ptCount val="12"/>
                <c:pt idx="0">
                  <c:v>ΧΟΡΗΓΙΑ</c:v>
                </c:pt>
                <c:pt idx="1">
                  <c:v>ΜΕΤΑΠΤΥΧΙΑΚΟ ΠΡΟΓΡΑΜΜΑ</c:v>
                </c:pt>
                <c:pt idx="2">
                  <c:v>ERASMUS</c:v>
                </c:pt>
                <c:pt idx="3">
                  <c:v>ΕΣΠΑ</c:v>
                </c:pt>
                <c:pt idx="4">
                  <c:v>ΑΛΛΑ ΕΡΓΑ</c:v>
                </c:pt>
                <c:pt idx="5">
                  <c:v>ΠΑΝΕΠΙΣΤΗΜΙΟ ΠΕΛΟΠΟΝΝΗΣΟΥ -ΕΛΚΕ </c:v>
                </c:pt>
                <c:pt idx="6">
                  <c:v>ΛΟΙΠΑ ΕΥΡΩΠΑΪΚΑ</c:v>
                </c:pt>
                <c:pt idx="7">
                  <c:v>ΕΘΝΙΚΟ</c:v>
                </c:pt>
                <c:pt idx="8">
                  <c:v>ΕΛΙΔΕΚ</c:v>
                </c:pt>
                <c:pt idx="9">
                  <c:v>HORIZON 2020</c:v>
                </c:pt>
                <c:pt idx="10">
                  <c:v>ΘΕΡΙΝΟ-ΧΕΙΜΕΡΙΝΟ ΣΧΟΛΕΙΟ</c:v>
                </c:pt>
                <c:pt idx="11">
                  <c:v>ΕΟΧ</c:v>
                </c:pt>
              </c:strCache>
            </c:strRef>
          </c:cat>
          <c:val>
            <c:numRef>
              <c:f>'Πλήθος έργων ανά προγραμμα'!$B$4:$B$15</c:f>
              <c:numCache>
                <c:formatCode>0</c:formatCode>
                <c:ptCount val="12"/>
                <c:pt idx="0">
                  <c:v>30</c:v>
                </c:pt>
                <c:pt idx="1">
                  <c:v>28</c:v>
                </c:pt>
                <c:pt idx="2">
                  <c:v>19</c:v>
                </c:pt>
                <c:pt idx="3">
                  <c:v>16</c:v>
                </c:pt>
                <c:pt idx="4">
                  <c:v>15</c:v>
                </c:pt>
                <c:pt idx="5">
                  <c:v>9</c:v>
                </c:pt>
                <c:pt idx="6">
                  <c:v>9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</c:ser>
        <c:dLbls>
          <c:showVal val="1"/>
        </c:dLbls>
        <c:shape val="box"/>
        <c:axId val="111492480"/>
        <c:axId val="111588864"/>
        <c:axId val="0"/>
      </c:bar3DChart>
      <c:catAx>
        <c:axId val="111492480"/>
        <c:scaling>
          <c:orientation val="minMax"/>
        </c:scaling>
        <c:axPos val="b"/>
        <c:tickLblPos val="nextTo"/>
        <c:crossAx val="111588864"/>
        <c:crosses val="autoZero"/>
        <c:auto val="1"/>
        <c:lblAlgn val="ctr"/>
        <c:lblOffset val="100"/>
      </c:catAx>
      <c:valAx>
        <c:axId val="111588864"/>
        <c:scaling>
          <c:orientation val="minMax"/>
        </c:scaling>
        <c:axPos val="l"/>
        <c:majorGridlines/>
        <c:numFmt formatCode="0" sourceLinked="1"/>
        <c:tickLblPos val="nextTo"/>
        <c:crossAx val="1114924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l-GR"/>
              <a:t>Πλήθος</a:t>
            </a:r>
            <a:r>
              <a:rPr lang="el-GR" baseline="0"/>
              <a:t> Έργων ανά Τμήμα Πανεπιστημίου Πελοποννήσου</a:t>
            </a:r>
            <a:endParaRPr lang="en-US"/>
          </a:p>
        </c:rich>
      </c:tx>
      <c:layout>
        <c:manualLayout>
          <c:xMode val="edge"/>
          <c:yMode val="edge"/>
          <c:x val="0.28363860309125788"/>
          <c:y val="4.5397225725094581E-2"/>
        </c:manualLayout>
      </c:layout>
      <c:overlay val="1"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-1.9856045235510751E-3"/>
                  <c:y val="7.566204287515762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9.9280226177553667E-4"/>
                  <c:y val="5.8848255569566868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2"/>
              <c:layout>
                <c:manualLayout>
                  <c:x val="-4.964011308877669E-3"/>
                  <c:y val="5.3804119377889856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3"/>
              <c:layout>
                <c:manualLayout>
                  <c:x val="0"/>
                  <c:y val="5.0441361916771794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4"/>
              <c:layout>
                <c:manualLayout>
                  <c:x val="0"/>
                  <c:y val="5.5485498108449022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5"/>
              <c:layout>
                <c:manualLayout>
                  <c:x val="-1.9856045235510751E-3"/>
                  <c:y val="4.5397225725094581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6"/>
              <c:layout>
                <c:manualLayout>
                  <c:x val="0"/>
                  <c:y val="4.0353089533417423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7"/>
              <c:layout>
                <c:manualLayout>
                  <c:x val="9.9280226177553667E-4"/>
                  <c:y val="4.2034468263976464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8"/>
              <c:layout>
                <c:manualLayout>
                  <c:x val="9.9280226177553667E-4"/>
                  <c:y val="4.8759983186212712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dLbl>
              <c:idx val="9"/>
              <c:layout>
                <c:manualLayout>
                  <c:x val="0"/>
                  <c:y val="3.530895334174023E-2"/>
                </c:manualLayout>
              </c:layout>
              <c:spPr/>
              <c:txPr>
                <a:bodyPr/>
                <a:lstStyle/>
                <a:p>
                  <a:pPr algn="ctr" rtl="0">
                    <a:defRPr lang="en-US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Val val="1"/>
            </c:dLbl>
            <c:showVal val="1"/>
          </c:dLbls>
          <c:cat>
            <c:strRef>
              <c:f>'Πλήθος έργων ανά τμήμα'!$A$2:$A$11</c:f>
              <c:strCache>
                <c:ptCount val="10"/>
                <c:pt idx="0">
                  <c:v>ΤΜΗΜΑ ΚΟΙΝΩΝΙΚΗΣ ΚΑΙ ΕΚΠΑΙΔΕΥΤΙΚΗΣ ΠΟΛΙΤΙΚΗΣ</c:v>
                </c:pt>
                <c:pt idx="1">
                  <c:v>ΤΜΗΜΑ ΠΟΛΙΤΙΚΗΣ ΕΠΙΣΤΗΜΗΣ ΚΑΙ ΔΙΕΘΝΩΝ ΣΧΕΣΕΩΝ</c:v>
                </c:pt>
                <c:pt idx="2">
                  <c:v>ΤΜΗΜΑ ΠΛΗΡΟΦΟΡΙΚΗΣ ΚΑΙ ΤΗΛΕΠΙΚΟΙΝΩΝΙΩΝ</c:v>
                </c:pt>
                <c:pt idx="3">
                  <c:v>ΤΜΗΜΑ ΟΡΓΑΝΩΣΗΣ ΚΑΙ ΔΙΑΧΕΙΡΙΣΗΣ ΑΘΛΗΤΙΣΜΟΥ</c:v>
                </c:pt>
                <c:pt idx="4">
                  <c:v>ΤΜΗΜΑ ΙΣΤΟΡΙΑΣ ΑΡΧΑΙΟΛΟΓΙΑΣ ΚΑΙ ΔΙΑΧΕΙΡΙΣΗΣ ΠΟΛΙΤΙΣΜΙΚΩΝ ΑΓΑΘΩΝ</c:v>
                </c:pt>
                <c:pt idx="5">
                  <c:v>ΤΜΗΜΑ ΦΙΛΟΛΟΓΙΑΣ</c:v>
                </c:pt>
                <c:pt idx="6">
                  <c:v>ΤΜΗΜΑ ΟΙΚΟΝΟΜΙΚΩΝ ΕΠΙΣΤΗΜΩΝ</c:v>
                </c:pt>
                <c:pt idx="7">
                  <c:v>ΠΑΝΕΠΙΣΤΗΜΙΟ ΠΕΛΟΠΟΝΝΗΣΟΥ</c:v>
                </c:pt>
                <c:pt idx="8">
                  <c:v>ΤΜΗΜΑ ΝΟΣΗΛΕΥΤΙΚΗΣ</c:v>
                </c:pt>
                <c:pt idx="9">
                  <c:v>ΤΜΗΜΑ ΘΕΑΤΡΙΚΩΝ ΣΠΟΥΔΩΝ</c:v>
                </c:pt>
              </c:strCache>
            </c:strRef>
          </c:cat>
          <c:val>
            <c:numRef>
              <c:f>'Πλήθος έργων ανά τμήμα'!$B$2:$B$11</c:f>
              <c:numCache>
                <c:formatCode>General</c:formatCode>
                <c:ptCount val="10"/>
                <c:pt idx="0">
                  <c:v>40</c:v>
                </c:pt>
                <c:pt idx="1">
                  <c:v>27</c:v>
                </c:pt>
                <c:pt idx="2">
                  <c:v>18</c:v>
                </c:pt>
                <c:pt idx="3">
                  <c:v>14</c:v>
                </c:pt>
                <c:pt idx="4">
                  <c:v>12</c:v>
                </c:pt>
                <c:pt idx="5">
                  <c:v>9</c:v>
                </c:pt>
                <c:pt idx="6">
                  <c:v>7</c:v>
                </c:pt>
                <c:pt idx="7">
                  <c:v>6</c:v>
                </c:pt>
                <c:pt idx="8">
                  <c:v>5</c:v>
                </c:pt>
                <c:pt idx="9">
                  <c:v>2</c:v>
                </c:pt>
              </c:numCache>
            </c:numRef>
          </c:val>
        </c:ser>
        <c:dLbls>
          <c:showVal val="1"/>
        </c:dLbls>
        <c:gapWidth val="75"/>
        <c:shape val="box"/>
        <c:axId val="113883392"/>
        <c:axId val="114495488"/>
        <c:axId val="0"/>
      </c:bar3DChart>
      <c:catAx>
        <c:axId val="113883392"/>
        <c:scaling>
          <c:orientation val="minMax"/>
        </c:scaling>
        <c:axPos val="b"/>
        <c:majorTickMark val="none"/>
        <c:tickLblPos val="nextTo"/>
        <c:crossAx val="114495488"/>
        <c:crosses val="autoZero"/>
        <c:auto val="1"/>
        <c:lblAlgn val="ctr"/>
        <c:lblOffset val="100"/>
      </c:catAx>
      <c:valAx>
        <c:axId val="114495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388339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l-GR"/>
              <a:t>Προϋπολογισμός</a:t>
            </a:r>
            <a:r>
              <a:rPr lang="el-GR" baseline="0"/>
              <a:t> Εγκεκριμένων Προτάσεων</a:t>
            </a:r>
          </a:p>
        </c:rich>
      </c:tx>
      <c:layout>
        <c:manualLayout>
          <c:xMode val="edge"/>
          <c:yMode val="edge"/>
          <c:x val="0.38652472832113582"/>
          <c:y val="6.6581306017925737E-2"/>
        </c:manualLayout>
      </c:layout>
      <c:overlay val="1"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dLbl>
              <c:idx val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 algn="ctr">
                    <a:defRPr lang="en-US"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dLbl>
            <c:dLbl>
              <c:idx val="1"/>
              <c:layout>
                <c:manualLayout>
                  <c:x val="8.8711465956975476E-4"/>
                  <c:y val="-1.536491677336748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€ 3,741,678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2"/>
              <c:layout>
                <c:manualLayout>
                  <c:x val="1.7742293191394978E-3"/>
                  <c:y val="-1.536491677336748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€</a:t>
                    </a:r>
                    <a:r>
                      <a:t>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2,570,697</a:t>
                    </a:r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chemeClr val="bg1"/>
                  </a:solidFill>
                </a:ln>
              </c:spPr>
              <c:showVal val="1"/>
            </c:dLbl>
            <c:dLbl>
              <c:idx val="3"/>
              <c:layout>
                <c:manualLayout>
                  <c:x val="2.6613439787092482E-3"/>
                  <c:y val="-1.0243277848911663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€</a:t>
                    </a:r>
                    <a:r>
                      <a:t>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1,766,181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4"/>
              <c:layout>
                <c:manualLayout>
                  <c:x val="2.6613439787092482E-3"/>
                  <c:y val="-8.5360648740930526E-3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1,304,911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5"/>
              <c:layout>
                <c:manualLayout>
                  <c:x val="5.3226879574184809E-3"/>
                  <c:y val="-1.3657703798548871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989,336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6"/>
              <c:layout>
                <c:manualLayout>
                  <c:x val="2.6613439787092482E-3"/>
                  <c:y val="-1.7072129748186154E-2"/>
                </c:manualLayout>
              </c:layout>
              <c:tx>
                <c:rich>
                  <a:bodyPr/>
                  <a:lstStyle/>
                  <a:p>
                    <a:pPr algn="ctr"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€ 374,390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7"/>
              <c:layout>
                <c:manualLayout>
                  <c:x val="6.2098026169882534E-3"/>
                  <c:y val="-2.7315407597097791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213,272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8"/>
              <c:layout>
                <c:manualLayout>
                  <c:x val="1.7742293191394978E-3"/>
                  <c:y val="-1.7072129748186154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253,500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9"/>
              <c:layout>
                <c:manualLayout>
                  <c:x val="3.5484586382789982E-3"/>
                  <c:y val="-1.536491677336748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159,577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10"/>
              <c:layout>
                <c:manualLayout>
                  <c:x val="1.7742293191394978E-3"/>
                  <c:y val="-1.7072129748186154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34,200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dLbl>
              <c:idx val="11"/>
              <c:layout>
                <c:manualLayout>
                  <c:x val="4.4355732978487534E-3"/>
                  <c:y val="-1.8779342723004692E-2"/>
                </c:manualLayout>
              </c:layout>
              <c:tx>
                <c:rich>
                  <a:bodyPr/>
                  <a:lstStyle/>
                  <a:p>
                    <a:pPr algn="ctr">
                      <a:def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€ </a:t>
                    </a:r>
                    <a:r>
                      <a:rPr lang="en-US"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rPr>
                      <a:t>6,000</a:t>
                    </a:r>
                  </a:p>
                </c:rich>
              </c:tx>
              <c:spPr>
                <a:solidFill>
                  <a:schemeClr val="bg1"/>
                </a:solidFill>
              </c:spPr>
              <c:showVal val="1"/>
            </c:dLbl>
            <c:txPr>
              <a:bodyPr/>
              <a:lstStyle/>
              <a:p>
                <a:pPr algn="ctr">
                  <a:defRPr lang="en-US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</c:dLbls>
          <c:cat>
            <c:strRef>
              <c:f>'Προϋπολογισμός ανά πρόγραμμα'!$A$3:$A$14</c:f>
              <c:strCache>
                <c:ptCount val="12"/>
                <c:pt idx="0">
                  <c:v>ΜΕΤΑΠΤΥΧΙΑΚΟ ΠΡΟΓΡΑΜΜΑ</c:v>
                </c:pt>
                <c:pt idx="1">
                  <c:v>ΕΣΠΑ</c:v>
                </c:pt>
                <c:pt idx="2">
                  <c:v>ERASMUS</c:v>
                </c:pt>
                <c:pt idx="3">
                  <c:v>ΛΟΙΠΑ ΕΥΡΩΠΑΪΚΑ</c:v>
                </c:pt>
                <c:pt idx="4">
                  <c:v>ΧΟΡΗΓΙΑ</c:v>
                </c:pt>
                <c:pt idx="5">
                  <c:v>HORIZON 2020</c:v>
                </c:pt>
                <c:pt idx="6">
                  <c:v>ΕΘΝΙΚΟ</c:v>
                </c:pt>
                <c:pt idx="7">
                  <c:v>ΕΟΧ</c:v>
                </c:pt>
                <c:pt idx="8">
                  <c:v>ΑΛΛΑ ΕΡΓΑ</c:v>
                </c:pt>
                <c:pt idx="9">
                  <c:v>ΠΑΝΕΠΙΣΤΗΜΙΟ ΠΕΛΟΠΟΝΝΗΣΟΥ -ΕΛΚΕ </c:v>
                </c:pt>
                <c:pt idx="10">
                  <c:v>ΕΛΙΔΕΚ</c:v>
                </c:pt>
                <c:pt idx="11">
                  <c:v>ΘΕΡΙΝΟ-ΧΕΙΜΕΡΙΝΟ ΣΧΟΛΕΙΟ</c:v>
                </c:pt>
              </c:strCache>
            </c:strRef>
          </c:cat>
          <c:val>
            <c:numRef>
              <c:f>'Προϋπολογισμός ανά πρόγραμμα'!$B$3:$B$14</c:f>
              <c:numCache>
                <c:formatCode>#,##0.00</c:formatCode>
                <c:ptCount val="12"/>
                <c:pt idx="0">
                  <c:v>20719117.229999993</c:v>
                </c:pt>
                <c:pt idx="1">
                  <c:v>3741677.94</c:v>
                </c:pt>
                <c:pt idx="2">
                  <c:v>2570697.02</c:v>
                </c:pt>
                <c:pt idx="3">
                  <c:v>1766180.96</c:v>
                </c:pt>
                <c:pt idx="4">
                  <c:v>1304911.3600000003</c:v>
                </c:pt>
                <c:pt idx="5">
                  <c:v>989336.25</c:v>
                </c:pt>
                <c:pt idx="6">
                  <c:v>374390.2</c:v>
                </c:pt>
                <c:pt idx="7">
                  <c:v>213271.7</c:v>
                </c:pt>
                <c:pt idx="8">
                  <c:v>253499.72</c:v>
                </c:pt>
                <c:pt idx="9">
                  <c:v>159577.03</c:v>
                </c:pt>
                <c:pt idx="10">
                  <c:v>34200</c:v>
                </c:pt>
                <c:pt idx="11">
                  <c:v>6000</c:v>
                </c:pt>
              </c:numCache>
            </c:numRef>
          </c:val>
        </c:ser>
        <c:dLbls>
          <c:showVal val="1"/>
        </c:dLbls>
        <c:shape val="box"/>
        <c:axId val="97989376"/>
        <c:axId val="97990912"/>
        <c:axId val="0"/>
      </c:bar3DChart>
      <c:catAx>
        <c:axId val="97989376"/>
        <c:scaling>
          <c:orientation val="minMax"/>
        </c:scaling>
        <c:axPos val="b"/>
        <c:tickLblPos val="nextTo"/>
        <c:crossAx val="97990912"/>
        <c:crosses val="autoZero"/>
        <c:auto val="1"/>
        <c:lblAlgn val="ctr"/>
        <c:lblOffset val="100"/>
      </c:catAx>
      <c:valAx>
        <c:axId val="97990912"/>
        <c:scaling>
          <c:orientation val="minMax"/>
        </c:scaling>
        <c:axPos val="l"/>
        <c:majorGridlines/>
        <c:numFmt formatCode="#,##0.00" sourceLinked="1"/>
        <c:tickLblPos val="nextTo"/>
        <c:crossAx val="97989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</Words>
  <Characters>94</Characters>
  <Application>Microsoft Office Word</Application>
  <DocSecurity>0</DocSecurity>
  <Lines>1</Lines>
  <Paragraphs>1</Paragraphs>
  <ScaleCrop>false</ScaleCrop>
  <Company>Grizli777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4</cp:revision>
  <dcterms:created xsi:type="dcterms:W3CDTF">2018-05-23T07:46:00Z</dcterms:created>
  <dcterms:modified xsi:type="dcterms:W3CDTF">2018-05-23T07:53:00Z</dcterms:modified>
</cp:coreProperties>
</file>