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F9C9" w14:textId="27216059"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Άρθρο 253, ν.</w:t>
      </w:r>
      <w:r w:rsidR="00390758">
        <w:rPr>
          <w:rFonts w:ascii="Calibri" w:eastAsia="Arial" w:hAnsi="Calibri" w:cs="Calibri"/>
          <w:kern w:val="2"/>
          <w:sz w:val="24"/>
          <w:szCs w:val="24"/>
          <w:lang w:eastAsia="zh-CN"/>
        </w:rPr>
        <w:t>4957/2022</w:t>
      </w:r>
    </w:p>
    <w:p w14:paraId="0AA7F9CA" w14:textId="77777777" w:rsidR="00C52503" w:rsidRPr="00C52503" w:rsidRDefault="00C52503" w:rsidP="00C52503">
      <w:pPr>
        <w:widowControl w:val="0"/>
        <w:suppressAutoHyphens/>
        <w:spacing w:after="0" w:line="240" w:lineRule="auto"/>
        <w:jc w:val="both"/>
        <w:rPr>
          <w:rFonts w:ascii="Calibri" w:eastAsia="Arial" w:hAnsi="Calibri" w:cs="Calibri"/>
          <w:b/>
          <w:bCs/>
          <w:kern w:val="2"/>
          <w:sz w:val="24"/>
          <w:szCs w:val="24"/>
          <w:lang w:eastAsia="zh-CN"/>
        </w:rPr>
      </w:pPr>
      <w:r w:rsidRPr="00C52503">
        <w:rPr>
          <w:rFonts w:ascii="Calibri" w:eastAsia="Arial" w:hAnsi="Calibri" w:cs="Calibri"/>
          <w:b/>
          <w:bCs/>
          <w:kern w:val="2"/>
          <w:sz w:val="24"/>
          <w:szCs w:val="24"/>
          <w:lang w:eastAsia="zh-CN"/>
        </w:rPr>
        <w:t>Διαδικασία χορήγησης προκαταβολών</w:t>
      </w:r>
    </w:p>
    <w:p w14:paraId="0AA7F9CB"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1.Οι Ειδικοί Λογαριασμοί Κονδυλίων Έρευνας των Ανώτατων Εκπαιδευτικών Ιδρυμάτων, κατόπιν αιτήματος του Επιστημονικού Υπευθύνου, δύνανται να χορηγούν προκαταβολές και να εκδίδουν χρηματικά εντάλματα προπληρωμής (Χ.Ε.Π.) για την κάλυψη αναγκών που περιγράφονται στην παρ. 2. Για την έκδοση Χ.Ε.Π. απαιτείται πράξη του Προέδρου της Επιτροπής Ερευνών, κατόπιν</w:t>
      </w:r>
    </w:p>
    <w:p w14:paraId="0AA7F9CC"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 xml:space="preserve">αιτήματος του Επιστημονικού Υπευθύνου, στην οποία ορίζονται τα στοιχεία του δικαιούχου της προκαταβολής, το ύψος του ποσού της χορηγούμενης προκαταβολής, η αιτιολογία χορήγησης και το χρονικό διάστημα απόδοσης αυτής. Το ποσό της χορηγούμενης προκαταβολής δύναται να πιστώνεται σε λογαριασμό που τηρείται στο όνομα του δικαιούχου της προκαταβολής σε οποιοδήποτε αναγνωρισμένο πιστωτικό ίδρυμα της ημεδαπής και υποδεικνύεται από τον ίδιο για τη διεκπεραίωση της διαδικασίας έκδοσης Χ.Ε.Π. </w:t>
      </w:r>
    </w:p>
    <w:p w14:paraId="0AA7F9CD"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2. Το Χ.Ε.Π. χορηγείται με σκοπό την κάλυψη δαπανών που εμπίπτουν σε μια από τις ακόλουθες κατηγορίες: α) δαπάνες μετακίνησης εκτός έδρας, β) δαπάνες προμήθειας οργάνων, αναλωσίμων ή εξειδικευμένων</w:t>
      </w:r>
    </w:p>
    <w:p w14:paraId="0AA7F9CE"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υπηρεσιών από το εξωτερικό, γ) ανάγκες μικροεξόδων λοιπών δαπανών μέχρι το ποσό των χιλίων (1.000) ευρώ, δ) δαπάνες προβολής ή προώθησης που είναι αναγκαίες για την εκτέλεση έργων/προγραμμάτων.</w:t>
      </w:r>
    </w:p>
    <w:p w14:paraId="0AA7F9CF"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 xml:space="preserve">  3. Δικαιούχος της προκαταβολής ή των προκαταβολών ανά έργο/πρόγραμμα ορίζεται ο Επιστημονικός Υπεύθυνος του έργου/προγράμματος ή άλλο μέλος του προσωπικού του Α.Ε.Ι., εφόσον έχει μόνιμη ή αορίστου χρόνου εργασιακή σχέση με το Α.Ε.Ι. Ο δικαιούχος της προκα-</w:t>
      </w:r>
    </w:p>
    <w:p w14:paraId="0AA7F9D0"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ταβολής ή των προκαταβολών καθίσταται υπόλογος για την απόδοσή της/τους. Η απόφαση του Προέδρου της Επιτροπής Ερευνών ορίζει την προθεσμία απόδοσης της προκαταβολής.</w:t>
      </w:r>
    </w:p>
    <w:p w14:paraId="0AA7F9D1"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4. Για τα έργα/προγράμματα, τα οποία δεν έχουν σαφή ημερομηνία λήξης και καταθέτουν ετήσιο αναλυτικό προϋπολογισμό, η προθεσμία απόδοσης δεν μπορεί να υπερβαίνει το τρίμηνο από την ημερομηνία έκδοσης του Χ.Ε.Π. και σε κάθε περίπτωση την 31η Δεκεμβρίου του οικονομικού έτους. Για τα έργα/προγράμματα, των οποίων η διάρκεια εκτείνεται πέραν του έτους, η προθεσμία απόδοσης δεν μπορεί να υπερβαίνει την 31η Μαρτίου του επόμενου οικονομικού έτους ή την ημερομηνία λήξης του έργου, εφόσον αυτή έχει οριστεί πριν την 31η</w:t>
      </w:r>
    </w:p>
    <w:p w14:paraId="0AA7F9D2"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Μαρτίου. Μετά τη διενέργεια των δαπανών ο δικαιούχος υποβάλλει στη Μ.Ο.Δ.Υ. όλα τα σχετικά παραστατικά (όπως εξοφλημένα τιμολόγια) και δικαιολογητικά για την</w:t>
      </w:r>
    </w:p>
    <w:p w14:paraId="0AA7F9D3"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απόδοση. Αν δεν εξαντληθεί όλο το ποσό του Χ.Ε.Π., ο δικαιούχος καταθέτει το υπόλοιπο ποσό στον λογαριασμό ταμειακής διαχείρισης του έργου/προγράμματος.</w:t>
      </w:r>
    </w:p>
    <w:p w14:paraId="0AA7F9D4" w14:textId="77777777" w:rsidR="00C52503" w:rsidRPr="00C52503" w:rsidRDefault="00C52503" w:rsidP="00C52503">
      <w:pPr>
        <w:widowControl w:val="0"/>
        <w:suppressAutoHyphens/>
        <w:spacing w:after="0" w:line="240" w:lineRule="auto"/>
        <w:jc w:val="both"/>
        <w:rPr>
          <w:rFonts w:ascii="Calibri" w:eastAsia="Arial" w:hAnsi="Calibri" w:cs="Calibri"/>
          <w:kern w:val="2"/>
          <w:sz w:val="24"/>
          <w:szCs w:val="24"/>
          <w:lang w:eastAsia="zh-CN"/>
        </w:rPr>
      </w:pPr>
      <w:r w:rsidRPr="00C52503">
        <w:rPr>
          <w:rFonts w:ascii="Calibri" w:eastAsia="Arial" w:hAnsi="Calibri" w:cs="Calibri"/>
          <w:kern w:val="2"/>
          <w:sz w:val="24"/>
          <w:szCs w:val="24"/>
          <w:lang w:eastAsia="zh-CN"/>
        </w:rPr>
        <w:t>Δεν επιτρέπεται η έκδοση Χ.Ε.Π. σε δικαιούχο που, για οποιονδήποτε λόγο, δεν έχει αποδώσει εμπροθέσμως προηγούμενη προκαταβολή που έχει λάβει.</w:t>
      </w:r>
    </w:p>
    <w:p w14:paraId="0AA7F9D5" w14:textId="77777777" w:rsidR="00322D51" w:rsidRDefault="00322D51"/>
    <w:sectPr w:rsidR="00322D51" w:rsidSect="00C54ECE">
      <w:footerReference w:type="default" r:id="rId6"/>
      <w:footerReference w:type="first" r:id="rId7"/>
      <w:pgSz w:w="11906" w:h="16838"/>
      <w:pgMar w:top="851" w:right="1274" w:bottom="851" w:left="1134" w:header="720" w:footer="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F9E0" w14:textId="77777777" w:rsidR="00000000" w:rsidRDefault="00390758">
      <w:pPr>
        <w:spacing w:after="0" w:line="240" w:lineRule="auto"/>
      </w:pPr>
      <w:r>
        <w:separator/>
      </w:r>
    </w:p>
  </w:endnote>
  <w:endnote w:type="continuationSeparator" w:id="0">
    <w:p w14:paraId="0AA7F9E2" w14:textId="77777777" w:rsidR="00000000" w:rsidRDefault="0039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209"/>
      <w:gridCol w:w="5210"/>
    </w:tblGrid>
    <w:tr w:rsidR="00EB397A" w14:paraId="0AA7F9D8" w14:textId="77777777">
      <w:tc>
        <w:tcPr>
          <w:tcW w:w="5209" w:type="dxa"/>
          <w:shd w:val="clear" w:color="auto" w:fill="auto"/>
          <w:vAlign w:val="center"/>
        </w:tcPr>
        <w:p w14:paraId="0AA7F9D6" w14:textId="77777777" w:rsidR="00EB397A" w:rsidRDefault="00390758">
          <w:pPr>
            <w:pStyle w:val="a3"/>
            <w:snapToGrid w:val="0"/>
          </w:pPr>
          <w:r>
            <w:rPr>
              <w:color w:val="A6A6A6"/>
              <w:sz w:val="20"/>
              <w:szCs w:val="20"/>
            </w:rPr>
            <w:t>Έντυπο Ο1</w:t>
          </w:r>
        </w:p>
      </w:tc>
      <w:tc>
        <w:tcPr>
          <w:tcW w:w="5210" w:type="dxa"/>
          <w:shd w:val="clear" w:color="auto" w:fill="auto"/>
        </w:tcPr>
        <w:p w14:paraId="0AA7F9D7" w14:textId="77777777" w:rsidR="00EB397A" w:rsidRDefault="00390758">
          <w:pPr>
            <w:pStyle w:val="a3"/>
            <w:snapToGrid w:val="0"/>
            <w:jc w:val="right"/>
          </w:pPr>
          <w:r>
            <w:rPr>
              <w:color w:val="A6A6A6"/>
              <w:sz w:val="20"/>
              <w:szCs w:val="20"/>
            </w:rPr>
            <w:t xml:space="preserve">Σελίδα </w:t>
          </w:r>
          <w:r>
            <w:rPr>
              <w:color w:val="A6A6A6"/>
              <w:sz w:val="20"/>
              <w:szCs w:val="20"/>
            </w:rPr>
            <w:fldChar w:fldCharType="begin"/>
          </w:r>
          <w:r>
            <w:rPr>
              <w:color w:val="A6A6A6"/>
              <w:sz w:val="20"/>
              <w:szCs w:val="20"/>
            </w:rPr>
            <w:instrText xml:space="preserve"> PAGE </w:instrText>
          </w:r>
          <w:r>
            <w:rPr>
              <w:color w:val="A6A6A6"/>
              <w:sz w:val="20"/>
              <w:szCs w:val="20"/>
            </w:rPr>
            <w:fldChar w:fldCharType="separate"/>
          </w:r>
          <w:r>
            <w:rPr>
              <w:noProof/>
              <w:color w:val="A6A6A6"/>
              <w:sz w:val="20"/>
              <w:szCs w:val="20"/>
            </w:rPr>
            <w:t>2</w:t>
          </w:r>
          <w:r>
            <w:rPr>
              <w:color w:val="A6A6A6"/>
              <w:sz w:val="20"/>
              <w:szCs w:val="20"/>
            </w:rPr>
            <w:fldChar w:fldCharType="end"/>
          </w:r>
          <w:r>
            <w:rPr>
              <w:color w:val="A6A6A6"/>
              <w:sz w:val="20"/>
              <w:szCs w:val="20"/>
            </w:rPr>
            <w:t xml:space="preserve"> από </w:t>
          </w:r>
          <w:r>
            <w:rPr>
              <w:color w:val="A6A6A6"/>
              <w:sz w:val="20"/>
              <w:szCs w:val="20"/>
            </w:rPr>
            <w:fldChar w:fldCharType="begin"/>
          </w:r>
          <w:r>
            <w:rPr>
              <w:color w:val="A6A6A6"/>
              <w:sz w:val="20"/>
              <w:szCs w:val="20"/>
            </w:rPr>
            <w:instrText xml:space="preserve"> NUMPAGES \* ARABIC </w:instrText>
          </w:r>
          <w:r>
            <w:rPr>
              <w:color w:val="A6A6A6"/>
              <w:sz w:val="20"/>
              <w:szCs w:val="20"/>
            </w:rPr>
            <w:fldChar w:fldCharType="separate"/>
          </w:r>
          <w:r>
            <w:rPr>
              <w:noProof/>
              <w:color w:val="A6A6A6"/>
              <w:sz w:val="20"/>
              <w:szCs w:val="20"/>
            </w:rPr>
            <w:t>2</w:t>
          </w:r>
          <w:r>
            <w:rPr>
              <w:color w:val="A6A6A6"/>
              <w:sz w:val="20"/>
              <w:szCs w:val="20"/>
            </w:rPr>
            <w:fldChar w:fldCharType="end"/>
          </w:r>
        </w:p>
      </w:tc>
    </w:tr>
  </w:tbl>
  <w:p w14:paraId="0AA7F9D9" w14:textId="77777777" w:rsidR="00EB397A" w:rsidRDefault="0039075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F9DA" w14:textId="77777777" w:rsidR="00EB7E3B" w:rsidRPr="00EB7E3B" w:rsidRDefault="00390758">
    <w:pPr>
      <w:pStyle w:val="a3"/>
      <w:jc w:val="center"/>
      <w:rPr>
        <w:rFonts w:ascii="Calibri" w:hAnsi="Calibri" w:cs="Calibri"/>
        <w:sz w:val="20"/>
      </w:rPr>
    </w:pPr>
    <w:r w:rsidRPr="00EB7E3B">
      <w:rPr>
        <w:rFonts w:ascii="Calibri" w:hAnsi="Calibri" w:cs="Calibri"/>
        <w:sz w:val="20"/>
      </w:rPr>
      <w:t xml:space="preserve">Σελίδα </w:t>
    </w:r>
    <w:r w:rsidRPr="00EB7E3B">
      <w:rPr>
        <w:rFonts w:ascii="Calibri" w:hAnsi="Calibri" w:cs="Calibri"/>
        <w:sz w:val="20"/>
      </w:rPr>
      <w:fldChar w:fldCharType="begin"/>
    </w:r>
    <w:r w:rsidRPr="00EB7E3B">
      <w:rPr>
        <w:rFonts w:ascii="Calibri" w:hAnsi="Calibri" w:cs="Calibri"/>
        <w:sz w:val="20"/>
      </w:rPr>
      <w:instrText>PAGE  \* Arabic  \* MERGEFORMAT</w:instrText>
    </w:r>
    <w:r w:rsidRPr="00EB7E3B">
      <w:rPr>
        <w:rFonts w:ascii="Calibri" w:hAnsi="Calibri" w:cs="Calibri"/>
        <w:sz w:val="20"/>
      </w:rPr>
      <w:fldChar w:fldCharType="separate"/>
    </w:r>
    <w:r>
      <w:rPr>
        <w:rFonts w:ascii="Calibri" w:hAnsi="Calibri" w:cs="Calibri"/>
        <w:noProof/>
        <w:sz w:val="20"/>
      </w:rPr>
      <w:t>1</w:t>
    </w:r>
    <w:r w:rsidRPr="00EB7E3B">
      <w:rPr>
        <w:rFonts w:ascii="Calibri" w:hAnsi="Calibri" w:cs="Calibri"/>
        <w:sz w:val="20"/>
      </w:rPr>
      <w:fldChar w:fldCharType="end"/>
    </w:r>
    <w:r w:rsidRPr="00EB7E3B">
      <w:rPr>
        <w:rFonts w:ascii="Calibri" w:hAnsi="Calibri" w:cs="Calibri"/>
        <w:sz w:val="20"/>
      </w:rPr>
      <w:t xml:space="preserve"> από </w:t>
    </w:r>
    <w:r w:rsidRPr="00EB7E3B">
      <w:rPr>
        <w:rFonts w:ascii="Calibri" w:hAnsi="Calibri" w:cs="Calibri"/>
        <w:sz w:val="20"/>
      </w:rPr>
      <w:fldChar w:fldCharType="begin"/>
    </w:r>
    <w:r w:rsidRPr="00EB7E3B">
      <w:rPr>
        <w:rFonts w:ascii="Calibri" w:hAnsi="Calibri" w:cs="Calibri"/>
        <w:sz w:val="20"/>
      </w:rPr>
      <w:instrText>NUMPAGES  \* Arabic  \* MERGEFORMAT</w:instrText>
    </w:r>
    <w:r w:rsidRPr="00EB7E3B">
      <w:rPr>
        <w:rFonts w:ascii="Calibri" w:hAnsi="Calibri" w:cs="Calibri"/>
        <w:sz w:val="20"/>
      </w:rPr>
      <w:fldChar w:fldCharType="separate"/>
    </w:r>
    <w:r>
      <w:rPr>
        <w:rFonts w:ascii="Calibri" w:hAnsi="Calibri" w:cs="Calibri"/>
        <w:noProof/>
        <w:sz w:val="20"/>
      </w:rPr>
      <w:t>1</w:t>
    </w:r>
    <w:r w:rsidRPr="00EB7E3B">
      <w:rPr>
        <w:rFonts w:ascii="Calibri" w:hAnsi="Calibri" w:cs="Calibri"/>
        <w:sz w:val="20"/>
      </w:rPr>
      <w:fldChar w:fldCharType="end"/>
    </w:r>
  </w:p>
  <w:p w14:paraId="0AA7F9DB" w14:textId="77777777" w:rsidR="00EB397A" w:rsidRDefault="003907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F9DC" w14:textId="77777777" w:rsidR="00000000" w:rsidRDefault="00390758">
      <w:pPr>
        <w:spacing w:after="0" w:line="240" w:lineRule="auto"/>
      </w:pPr>
      <w:r>
        <w:separator/>
      </w:r>
    </w:p>
  </w:footnote>
  <w:footnote w:type="continuationSeparator" w:id="0">
    <w:p w14:paraId="0AA7F9DE" w14:textId="77777777" w:rsidR="00000000" w:rsidRDefault="00390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0E"/>
    <w:rsid w:val="00322D51"/>
    <w:rsid w:val="00390758"/>
    <w:rsid w:val="00C52503"/>
    <w:rsid w:val="00F2000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F9C9"/>
  <w15:chartTrackingRefBased/>
  <w15:docId w15:val="{5D0D79A0-F877-4C23-9B5F-BB151741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52503"/>
    <w:pPr>
      <w:widowControl w:val="0"/>
      <w:tabs>
        <w:tab w:val="center" w:pos="4153"/>
        <w:tab w:val="right" w:pos="8306"/>
      </w:tabs>
      <w:suppressAutoHyphens/>
      <w:spacing w:after="0" w:line="240" w:lineRule="auto"/>
    </w:pPr>
    <w:rPr>
      <w:rFonts w:ascii="Arial" w:eastAsia="Arial" w:hAnsi="Arial" w:cs="Arial"/>
      <w:kern w:val="2"/>
      <w:sz w:val="24"/>
      <w:szCs w:val="24"/>
      <w:lang w:eastAsia="zh-CN"/>
    </w:rPr>
  </w:style>
  <w:style w:type="character" w:customStyle="1" w:styleId="Char">
    <w:name w:val="Υποσέλιδο Char"/>
    <w:basedOn w:val="a0"/>
    <w:link w:val="a3"/>
    <w:uiPriority w:val="99"/>
    <w:rsid w:val="00C52503"/>
    <w:rPr>
      <w:rFonts w:ascii="Arial" w:eastAsia="Arial" w:hAnsi="Arial" w:cs="Arial"/>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2268</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eleni.prez@outlook.com</dc:creator>
  <cp:keywords/>
  <dc:description/>
  <cp:lastModifiedBy>ELENI PREZERAKOU</cp:lastModifiedBy>
  <cp:revision>3</cp:revision>
  <dcterms:created xsi:type="dcterms:W3CDTF">2022-08-29T08:28:00Z</dcterms:created>
  <dcterms:modified xsi:type="dcterms:W3CDTF">2022-09-26T07:36:00Z</dcterms:modified>
</cp:coreProperties>
</file>